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/>
          <w:bCs/>
          <w:sz w:val="32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32"/>
          <w:szCs w:val="24"/>
          <w:lang w:eastAsia="cs-CZ"/>
        </w:rPr>
        <w:t>Důvodová zpráva k návrhu rozpočtu Statutárního města Chomutova na rok 2026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1. Právní rámec a metodické východisko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Předkládaný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návrh rozpočtu Statutárního města Chomutova na rok 2026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je zpracován v souladu s ustanoveními § 11 až § 13 zákona č. 250/2000 Sb., o rozpočtových pravidlech územních rozpočtů, a s vyhláškou č. 323/2002 Sb., o rozpočtové skladbě. Návrh vychází </w:t>
      </w:r>
      <w:r>
        <w:rPr>
          <w:rFonts w:eastAsia="Times New Roman" w:cstheme="minorHAnsi"/>
          <w:sz w:val="24"/>
          <w:szCs w:val="24"/>
          <w:lang w:eastAsia="cs-CZ"/>
        </w:rPr>
        <w:t xml:space="preserve">z provedené revize potřeb jednotlivých odborů a organizací města, 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ze </w:t>
      </w:r>
      <w:r>
        <w:rPr>
          <w:rFonts w:eastAsia="Times New Roman" w:cstheme="minorHAnsi"/>
          <w:sz w:val="24"/>
          <w:szCs w:val="24"/>
          <w:lang w:eastAsia="cs-CZ"/>
        </w:rPr>
        <w:t>Z</w:t>
      </w:r>
      <w:r w:rsidRPr="00B25FCD">
        <w:rPr>
          <w:rFonts w:eastAsia="Times New Roman" w:cstheme="minorHAnsi"/>
          <w:sz w:val="24"/>
          <w:szCs w:val="24"/>
          <w:lang w:eastAsia="cs-CZ"/>
        </w:rPr>
        <w:t>ásad k tvorbě rozpočtu statutárního města</w:t>
      </w:r>
      <w:r>
        <w:rPr>
          <w:rFonts w:eastAsia="Times New Roman" w:cstheme="minorHAnsi"/>
          <w:sz w:val="24"/>
          <w:szCs w:val="24"/>
          <w:lang w:eastAsia="cs-CZ"/>
        </w:rPr>
        <w:t xml:space="preserve">, schválených zastupitelstvem města a aktualizace </w:t>
      </w:r>
      <w:r w:rsidRPr="00B25FCD">
        <w:rPr>
          <w:rFonts w:eastAsia="Times New Roman" w:cstheme="minorHAnsi"/>
          <w:i/>
          <w:iCs/>
          <w:sz w:val="24"/>
          <w:szCs w:val="24"/>
          <w:lang w:eastAsia="cs-CZ"/>
        </w:rPr>
        <w:t>Střednědobé</w:t>
      </w:r>
      <w:r>
        <w:rPr>
          <w:rFonts w:eastAsia="Times New Roman" w:cstheme="minorHAnsi"/>
          <w:i/>
          <w:iCs/>
          <w:sz w:val="24"/>
          <w:szCs w:val="24"/>
          <w:lang w:eastAsia="cs-CZ"/>
        </w:rPr>
        <w:t>ho</w:t>
      </w:r>
      <w:r w:rsidRPr="00B25FCD">
        <w:rPr>
          <w:rFonts w:eastAsia="Times New Roman" w:cstheme="minorHAnsi"/>
          <w:i/>
          <w:iCs/>
          <w:sz w:val="24"/>
          <w:szCs w:val="24"/>
          <w:lang w:eastAsia="cs-CZ"/>
        </w:rPr>
        <w:t xml:space="preserve"> výhledu rozpočtu města pro období let 2026–2030</w:t>
      </w:r>
      <w:r w:rsidRPr="00B25FCD">
        <w:rPr>
          <w:rFonts w:eastAsia="Times New Roman" w:cstheme="minorHAnsi"/>
          <w:sz w:val="24"/>
          <w:szCs w:val="24"/>
          <w:lang w:eastAsia="cs-CZ"/>
        </w:rPr>
        <w:t>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Rozpočet představuje základní finanční plán města, který určuje objem a strukturu příjmů a výdajů v daném rozpočtovém roce a je hlavním nástrojem řízení hospodaření města, jeho příspěvkových organizací</w:t>
      </w:r>
      <w:r>
        <w:rPr>
          <w:rFonts w:eastAsia="Times New Roman" w:cstheme="minorHAnsi"/>
          <w:sz w:val="24"/>
          <w:szCs w:val="24"/>
          <w:lang w:eastAsia="cs-CZ"/>
        </w:rPr>
        <w:t xml:space="preserve">, obchodních společností 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a účelových fondů. Cílem je zajistit dlouhodobou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stabilitu veřejných financí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,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zachování vyrovnaného rozpočtu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a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udržitelný rozvoj města</w:t>
      </w:r>
      <w:r w:rsidRPr="00B25FCD">
        <w:rPr>
          <w:rFonts w:eastAsia="Times New Roman" w:cstheme="minorHAnsi"/>
          <w:sz w:val="24"/>
          <w:szCs w:val="24"/>
          <w:lang w:eastAsia="cs-CZ"/>
        </w:rPr>
        <w:t>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2. Celková koncepce rozpočtu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Rozpočet na rok 2026 je koncipován jako </w:t>
      </w:r>
      <w:r>
        <w:rPr>
          <w:rFonts w:eastAsia="Times New Roman" w:cstheme="minorHAnsi"/>
          <w:b/>
          <w:sz w:val="24"/>
          <w:szCs w:val="24"/>
          <w:lang w:eastAsia="cs-CZ"/>
        </w:rPr>
        <w:t xml:space="preserve">schodový s deficitem 53,2 mil. Kč. Schodek je vyrovnán zůstatky na účtech města 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(přebytky z let minulých) bez nutnosti zapojení úvěru a správy aktiv. </w:t>
      </w:r>
      <w:r>
        <w:rPr>
          <w:rFonts w:eastAsia="Times New Roman" w:cstheme="minorHAnsi"/>
          <w:sz w:val="24"/>
          <w:szCs w:val="24"/>
          <w:lang w:eastAsia="cs-CZ"/>
        </w:rPr>
        <w:t>Rozpočet byl sestaven</w:t>
      </w:r>
      <w:r w:rsidRPr="00B25FCD">
        <w:rPr>
          <w:rFonts w:eastAsia="Times New Roman" w:cstheme="minorHAnsi"/>
          <w:sz w:val="24"/>
          <w:szCs w:val="24"/>
          <w:lang w:eastAsia="cs-CZ"/>
        </w:rPr>
        <w:t>, s důrazem na odpovědné řízení výdajové stránky a na zachování dostatečného provozního přebytku.</w:t>
      </w:r>
      <w:r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B25FCD">
        <w:rPr>
          <w:rFonts w:eastAsia="Times New Roman" w:cstheme="minorHAnsi"/>
          <w:sz w:val="24"/>
          <w:szCs w:val="24"/>
          <w:lang w:eastAsia="cs-CZ"/>
        </w:rPr>
        <w:t>Při jeho sestavování bylo přihlédnuto k následujícím zásadám:</w:t>
      </w:r>
    </w:p>
    <w:p w:rsidR="00B25FCD" w:rsidRPr="00B25FCD" w:rsidRDefault="00B25FCD" w:rsidP="00B25FC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realistické stanovení příjmů dle aktuálních prognóz Ministerstva financí ČR,</w:t>
      </w:r>
    </w:p>
    <w:p w:rsidR="00B25FCD" w:rsidRPr="00B25FCD" w:rsidRDefault="00B25FCD" w:rsidP="00B25FC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opatrnost při odhadu neinvestičních transferů a dotací,</w:t>
      </w:r>
    </w:p>
    <w:p w:rsidR="00B25FCD" w:rsidRPr="00B25FCD" w:rsidRDefault="00B25FCD" w:rsidP="00B25FC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zachování stability běžných výdajů a omezení růstu mandatorních výdajů,</w:t>
      </w:r>
    </w:p>
    <w:p w:rsidR="00B25FCD" w:rsidRPr="00B25FCD" w:rsidRDefault="00B25FCD" w:rsidP="00B25FC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tvorba prostoru pro financování investic z vlastních zdrojů bez nutnosti úvěrového zatížení.</w:t>
      </w:r>
    </w:p>
    <w:p w:rsid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Rozpočet zároveň vychází z konsolidovaných údajů o hospodaření města v letech 2020–2024 a z platného rozpočtu na rok 2025, který sloužil jako výchozí referenční základ. S ohledem na vývoj ekonomických podmínek a výsledek státního rozpočtu na rok 2025 je návrh rozpočtu 2026 zpracován s přiměřenou mírou opatrnosti, avšak bez negativního dopadu na rozvojové cíle města.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Významnou meziroční změnou je převzetí kompetence financování nepedagogických pracovníků v regionálním školství, které však bylo zohledněno ve změně zákona o rozpočtovém určení daní.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3. Příjmová stránka rozpočtu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Celkové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příjmy rozpočtu města pro rok 2026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jsou rozpočtovány v souladu s aktuálními ekonomickými predikcemi a s vývojem sdílených daní, které tvoří páteř příjmové části.</w:t>
      </w:r>
      <w:r w:rsidRPr="00B25FCD">
        <w:rPr>
          <w:rFonts w:eastAsia="Times New Roman" w:cstheme="minorHAnsi"/>
          <w:sz w:val="24"/>
          <w:szCs w:val="24"/>
          <w:lang w:eastAsia="cs-CZ"/>
        </w:rPr>
        <w:br/>
      </w:r>
      <w:r w:rsidRPr="00B25FCD">
        <w:rPr>
          <w:rFonts w:eastAsia="Times New Roman" w:cstheme="minorHAnsi"/>
          <w:sz w:val="24"/>
          <w:szCs w:val="24"/>
          <w:lang w:eastAsia="cs-CZ"/>
        </w:rPr>
        <w:lastRenderedPageBreak/>
        <w:t>Očekává se jejich meziroční růst přibližně o 5–6 %, což odpovídá dlouhodobému trendu vývoje hrubého domácího produktu a úpravě rozpočtového určení daní (RUD).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Z hlediska struktury příjmů:</w:t>
      </w:r>
    </w:p>
    <w:p w:rsidR="00B25FCD" w:rsidRPr="00B25FCD" w:rsidRDefault="00B25FCD" w:rsidP="00B25FC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Daňové příjmy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DF4277">
        <w:rPr>
          <w:rFonts w:eastAsia="Times New Roman" w:cstheme="minorHAnsi"/>
          <w:sz w:val="24"/>
          <w:szCs w:val="24"/>
          <w:lang w:eastAsia="cs-CZ"/>
        </w:rPr>
        <w:t xml:space="preserve">(1,38 </w:t>
      </w:r>
      <w:proofErr w:type="spellStart"/>
      <w:r w:rsidR="00DF4277">
        <w:rPr>
          <w:rFonts w:eastAsia="Times New Roman" w:cstheme="minorHAnsi"/>
          <w:sz w:val="24"/>
          <w:szCs w:val="24"/>
          <w:lang w:eastAsia="cs-CZ"/>
        </w:rPr>
        <w:t>mld</w:t>
      </w:r>
      <w:proofErr w:type="spellEnd"/>
      <w:r w:rsidR="00DF4277">
        <w:rPr>
          <w:rFonts w:eastAsia="Times New Roman" w:cstheme="minorHAnsi"/>
          <w:sz w:val="24"/>
          <w:szCs w:val="24"/>
          <w:lang w:eastAsia="cs-CZ"/>
        </w:rPr>
        <w:t xml:space="preserve"> Kč) </w:t>
      </w:r>
      <w:r w:rsidRPr="00B25FCD">
        <w:rPr>
          <w:rFonts w:eastAsia="Times New Roman" w:cstheme="minorHAnsi"/>
          <w:sz w:val="24"/>
          <w:szCs w:val="24"/>
          <w:lang w:eastAsia="cs-CZ"/>
        </w:rPr>
        <w:t>představují dominantní složku a zajišťují přibližně tři čtvrtiny všech běžných příjmů.</w:t>
      </w:r>
    </w:p>
    <w:p w:rsidR="00B25FCD" w:rsidRPr="00B25FCD" w:rsidRDefault="00B25FCD" w:rsidP="00B25FC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Nedaňové příjmy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DF4277">
        <w:rPr>
          <w:rFonts w:eastAsia="Times New Roman" w:cstheme="minorHAnsi"/>
          <w:sz w:val="24"/>
          <w:szCs w:val="24"/>
          <w:lang w:eastAsia="cs-CZ"/>
        </w:rPr>
        <w:t xml:space="preserve">(149 mil. Kč) </w:t>
      </w:r>
      <w:r w:rsidRPr="00B25FCD">
        <w:rPr>
          <w:rFonts w:eastAsia="Times New Roman" w:cstheme="minorHAnsi"/>
          <w:sz w:val="24"/>
          <w:szCs w:val="24"/>
          <w:lang w:eastAsia="cs-CZ"/>
        </w:rPr>
        <w:t>zahrnují výnosy z majetku města, správní a místní poplatky, příjmy z pronájmu a z činností příspěvkových organizací.</w:t>
      </w:r>
    </w:p>
    <w:p w:rsidR="00DF4277" w:rsidRDefault="00B25FCD" w:rsidP="00B25FC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Dotace a transfery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DF4277">
        <w:rPr>
          <w:rFonts w:eastAsia="Times New Roman" w:cstheme="minorHAnsi"/>
          <w:sz w:val="24"/>
          <w:szCs w:val="24"/>
          <w:lang w:eastAsia="cs-CZ"/>
        </w:rPr>
        <w:t xml:space="preserve">(85 mil. Kč) </w:t>
      </w:r>
      <w:r w:rsidRPr="00B25FCD">
        <w:rPr>
          <w:rFonts w:eastAsia="Times New Roman" w:cstheme="minorHAnsi"/>
          <w:sz w:val="24"/>
          <w:szCs w:val="24"/>
          <w:lang w:eastAsia="cs-CZ"/>
        </w:rPr>
        <w:t>jsou rozpočtovány konzervativně</w:t>
      </w:r>
      <w:r>
        <w:rPr>
          <w:rFonts w:eastAsia="Times New Roman" w:cstheme="minorHAnsi"/>
          <w:sz w:val="24"/>
          <w:szCs w:val="24"/>
          <w:lang w:eastAsia="cs-CZ"/>
        </w:rPr>
        <w:t xml:space="preserve">. Příspěvek na výkon státní správy </w:t>
      </w:r>
      <w:r w:rsidR="00DF4277">
        <w:rPr>
          <w:rFonts w:eastAsia="Times New Roman" w:cstheme="minorHAnsi"/>
          <w:sz w:val="24"/>
          <w:szCs w:val="24"/>
          <w:lang w:eastAsia="cs-CZ"/>
        </w:rPr>
        <w:t xml:space="preserve">nebyl pro rok 2026 valorizován (město jen v roce 2025 dopláceno na stát 45 mil. Kč). </w:t>
      </w:r>
    </w:p>
    <w:p w:rsidR="00B25FCD" w:rsidRPr="00B25FCD" w:rsidRDefault="00DF4277" w:rsidP="00B25FC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V očekávaných příjmech dotací jsou zakomponovány očekávané přijaté dotace ve výši  98,9 mil Kč, které</w:t>
      </w:r>
      <w:r w:rsidR="00B25FCD" w:rsidRPr="00B25FCD">
        <w:rPr>
          <w:rFonts w:eastAsia="Times New Roman" w:cstheme="minorHAnsi"/>
          <w:sz w:val="24"/>
          <w:szCs w:val="24"/>
          <w:lang w:eastAsia="cs-CZ"/>
        </w:rPr>
        <w:t xml:space="preserve"> reflektují </w:t>
      </w:r>
      <w:r>
        <w:rPr>
          <w:rFonts w:eastAsia="Times New Roman" w:cstheme="minorHAnsi"/>
          <w:sz w:val="24"/>
          <w:szCs w:val="24"/>
          <w:lang w:eastAsia="cs-CZ"/>
        </w:rPr>
        <w:t>připravené investiční akce a projekty odboru rozvoje a investic</w:t>
      </w:r>
      <w:r w:rsidR="00B25FCD" w:rsidRPr="00B25FCD">
        <w:rPr>
          <w:rFonts w:eastAsia="Times New Roman" w:cstheme="minorHAnsi"/>
          <w:sz w:val="24"/>
          <w:szCs w:val="24"/>
          <w:lang w:eastAsia="cs-CZ"/>
        </w:rPr>
        <w:t>.</w:t>
      </w:r>
      <w:r>
        <w:rPr>
          <w:rFonts w:eastAsia="Times New Roman" w:cstheme="minorHAnsi"/>
          <w:sz w:val="24"/>
          <w:szCs w:val="24"/>
          <w:lang w:eastAsia="cs-CZ"/>
        </w:rPr>
        <w:t xml:space="preserve"> Rozpočtovány jsou však jako nedaňový příjem (do doby než je obdržíme na účet). </w:t>
      </w:r>
    </w:p>
    <w:p w:rsidR="00B25FCD" w:rsidRPr="00B25FCD" w:rsidRDefault="00B25FCD" w:rsidP="00B25FC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Kapitálové příjmy</w:t>
      </w:r>
      <w:r w:rsidR="00DF4277">
        <w:rPr>
          <w:rFonts w:eastAsia="Times New Roman" w:cstheme="minorHAnsi"/>
          <w:sz w:val="24"/>
          <w:szCs w:val="24"/>
          <w:lang w:eastAsia="cs-CZ"/>
        </w:rPr>
        <w:t xml:space="preserve"> (7 mil. Kč) - tvoří marginální příjem z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prodeje nemovitého majetku města, jejichž výnos bude směrován výhradně do rozvoje investiční infrastruktury.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Rozpočet předpokládá rovněž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přiměřené zapojení přebytků minulých let</w:t>
      </w:r>
      <w:r w:rsidR="00DF4277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</w:t>
      </w:r>
      <w:r w:rsidR="00DF4277" w:rsidRPr="00DF4277">
        <w:rPr>
          <w:rFonts w:eastAsia="Times New Roman" w:cstheme="minorHAnsi"/>
          <w:bCs/>
          <w:sz w:val="24"/>
          <w:szCs w:val="24"/>
          <w:lang w:eastAsia="cs-CZ"/>
        </w:rPr>
        <w:t>(53,2 mil. Kč)</w:t>
      </w:r>
      <w:r w:rsidRPr="00B25FCD">
        <w:rPr>
          <w:rFonts w:eastAsia="Times New Roman" w:cstheme="minorHAnsi"/>
          <w:sz w:val="24"/>
          <w:szCs w:val="24"/>
          <w:lang w:eastAsia="cs-CZ"/>
        </w:rPr>
        <w:t>, a to především pro financování investičních výdajů a krytí případných časových nesouladů mezi čerpáním dotací a realizací projektů.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4. Výdajová stránka rozpočtu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Na výdajové straně je rozpočet sestaven s cílem zajistit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plné krytí zákonných, smluvních a provozních potřeb města</w:t>
      </w:r>
      <w:r w:rsidR="0074770F">
        <w:rPr>
          <w:rFonts w:eastAsia="Times New Roman" w:cstheme="minorHAnsi"/>
          <w:sz w:val="24"/>
          <w:szCs w:val="24"/>
          <w:lang w:eastAsia="cs-CZ"/>
        </w:rPr>
        <w:t>,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jeho příspěvkových organizací</w:t>
      </w:r>
      <w:r w:rsidR="0074770F">
        <w:rPr>
          <w:rFonts w:eastAsia="Times New Roman" w:cstheme="minorHAnsi"/>
          <w:sz w:val="24"/>
          <w:szCs w:val="24"/>
          <w:lang w:eastAsia="cs-CZ"/>
        </w:rPr>
        <w:t xml:space="preserve"> a obchodních společností</w:t>
      </w:r>
      <w:r w:rsidRPr="00B25FCD">
        <w:rPr>
          <w:rFonts w:eastAsia="Times New Roman" w:cstheme="minorHAnsi"/>
          <w:sz w:val="24"/>
          <w:szCs w:val="24"/>
          <w:lang w:eastAsia="cs-CZ"/>
        </w:rPr>
        <w:t>, při současném udržení efektivnosti vynakládaných prostředků.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Běžné výdaje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Běžné (provozní) výdaje </w:t>
      </w:r>
      <w:r w:rsidR="0045142F">
        <w:rPr>
          <w:rFonts w:eastAsia="Times New Roman" w:cstheme="minorHAnsi"/>
          <w:sz w:val="24"/>
          <w:szCs w:val="24"/>
          <w:lang w:eastAsia="cs-CZ"/>
        </w:rPr>
        <w:t xml:space="preserve">(1,5 </w:t>
      </w:r>
      <w:proofErr w:type="spellStart"/>
      <w:r w:rsidR="0045142F">
        <w:rPr>
          <w:rFonts w:eastAsia="Times New Roman" w:cstheme="minorHAnsi"/>
          <w:sz w:val="24"/>
          <w:szCs w:val="24"/>
          <w:lang w:eastAsia="cs-CZ"/>
        </w:rPr>
        <w:t>mld</w:t>
      </w:r>
      <w:proofErr w:type="spellEnd"/>
      <w:r w:rsidR="0045142F">
        <w:rPr>
          <w:rFonts w:eastAsia="Times New Roman" w:cstheme="minorHAnsi"/>
          <w:sz w:val="24"/>
          <w:szCs w:val="24"/>
          <w:lang w:eastAsia="cs-CZ"/>
        </w:rPr>
        <w:t xml:space="preserve"> Kč) </w:t>
      </w:r>
      <w:r w:rsidRPr="00B25FCD">
        <w:rPr>
          <w:rFonts w:eastAsia="Times New Roman" w:cstheme="minorHAnsi"/>
          <w:sz w:val="24"/>
          <w:szCs w:val="24"/>
          <w:lang w:eastAsia="cs-CZ"/>
        </w:rPr>
        <w:t>jsou navrženy tak, aby zajistily plynulý výkon samosprávných a přenesených kompetencí města, a to zejména v oblastech:</w:t>
      </w:r>
    </w:p>
    <w:p w:rsidR="00DF4277" w:rsidRPr="00DF4277" w:rsidRDefault="00DF4277" w:rsidP="00B25FC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sz w:val="24"/>
          <w:szCs w:val="24"/>
          <w:lang w:eastAsia="cs-CZ"/>
        </w:rPr>
        <w:t>výkon veřejné správy,</w:t>
      </w:r>
    </w:p>
    <w:p w:rsidR="00B25FCD" w:rsidRPr="00B25FCD" w:rsidRDefault="00B25FCD" w:rsidP="00B25FC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školství a vzdělávání</w:t>
      </w:r>
      <w:r w:rsidRPr="00B25FCD">
        <w:rPr>
          <w:rFonts w:eastAsia="Times New Roman" w:cstheme="minorHAnsi"/>
          <w:sz w:val="24"/>
          <w:szCs w:val="24"/>
          <w:lang w:eastAsia="cs-CZ"/>
        </w:rPr>
        <w:t>,</w:t>
      </w:r>
    </w:p>
    <w:p w:rsidR="00B25FCD" w:rsidRPr="00B25FCD" w:rsidRDefault="00B25FCD" w:rsidP="00B25FC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 xml:space="preserve">sociální </w:t>
      </w:r>
      <w:r w:rsidR="00DF4277">
        <w:rPr>
          <w:rFonts w:eastAsia="Times New Roman" w:cstheme="minorHAnsi"/>
          <w:b/>
          <w:bCs/>
          <w:sz w:val="24"/>
          <w:szCs w:val="24"/>
          <w:lang w:eastAsia="cs-CZ"/>
        </w:rPr>
        <w:t>oblast</w:t>
      </w:r>
      <w:r w:rsidRPr="00B25FCD">
        <w:rPr>
          <w:rFonts w:eastAsia="Times New Roman" w:cstheme="minorHAnsi"/>
          <w:sz w:val="24"/>
          <w:szCs w:val="24"/>
          <w:lang w:eastAsia="cs-CZ"/>
        </w:rPr>
        <w:t>,</w:t>
      </w:r>
    </w:p>
    <w:p w:rsidR="00B25FCD" w:rsidRPr="00B25FCD" w:rsidRDefault="00B25FCD" w:rsidP="00B25FC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kultura, sport a volnočasové aktivity</w:t>
      </w:r>
      <w:r w:rsidRPr="00B25FCD">
        <w:rPr>
          <w:rFonts w:eastAsia="Times New Roman" w:cstheme="minorHAnsi"/>
          <w:sz w:val="24"/>
          <w:szCs w:val="24"/>
          <w:lang w:eastAsia="cs-CZ"/>
        </w:rPr>
        <w:t>,</w:t>
      </w:r>
    </w:p>
    <w:p w:rsidR="00B25FCD" w:rsidRPr="00B25FCD" w:rsidRDefault="00B25FCD" w:rsidP="00B25FC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údržba a správa majetku města</w:t>
      </w:r>
      <w:r w:rsidRPr="00B25FCD">
        <w:rPr>
          <w:rFonts w:eastAsia="Times New Roman" w:cstheme="minorHAnsi"/>
          <w:sz w:val="24"/>
          <w:szCs w:val="24"/>
          <w:lang w:eastAsia="cs-CZ"/>
        </w:rPr>
        <w:t>,</w:t>
      </w:r>
    </w:p>
    <w:p w:rsidR="00B25FCD" w:rsidRPr="00B25FCD" w:rsidRDefault="00B25FCD" w:rsidP="00B25FC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bezpečnost, doprava a veřejné osvětlení</w:t>
      </w:r>
      <w:r w:rsidRPr="00B25FCD">
        <w:rPr>
          <w:rFonts w:eastAsia="Times New Roman" w:cstheme="minorHAnsi"/>
          <w:sz w:val="24"/>
          <w:szCs w:val="24"/>
          <w:lang w:eastAsia="cs-CZ"/>
        </w:rPr>
        <w:t>,</w:t>
      </w:r>
    </w:p>
    <w:p w:rsidR="00B25FCD" w:rsidRPr="00B25FCD" w:rsidRDefault="00B25FCD" w:rsidP="00B25FC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životní prostředí a odpadové hospodářství</w:t>
      </w:r>
      <w:r w:rsidRPr="00B25FCD">
        <w:rPr>
          <w:rFonts w:eastAsia="Times New Roman" w:cstheme="minorHAnsi"/>
          <w:sz w:val="24"/>
          <w:szCs w:val="24"/>
          <w:lang w:eastAsia="cs-CZ"/>
        </w:rPr>
        <w:t>.</w:t>
      </w:r>
    </w:p>
    <w:p w:rsid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Město i nadále dbá na energetickou úspornost, ekologizaci provozů a modernizaci veřejné infrastruktury.</w:t>
      </w:r>
    </w:p>
    <w:p w:rsidR="008339AE" w:rsidRDefault="008339AE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8339AE" w:rsidRPr="00B25FCD" w:rsidRDefault="008339AE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lastRenderedPageBreak/>
        <w:t>Kapitálové výdaje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V roce 2026 město plánuje realizaci a spolufinancování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významných investičních projektů</w:t>
      </w:r>
      <w:r w:rsidRPr="00B25FCD">
        <w:rPr>
          <w:rFonts w:eastAsia="Times New Roman" w:cstheme="minorHAnsi"/>
          <w:sz w:val="24"/>
          <w:szCs w:val="24"/>
          <w:lang w:eastAsia="cs-CZ"/>
        </w:rPr>
        <w:t>, zejména:</w:t>
      </w:r>
    </w:p>
    <w:p w:rsidR="00B25FCD" w:rsidRPr="00B25FCD" w:rsidRDefault="00B25FCD" w:rsidP="00B25FC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rekonstrukce a modernizace školských a sportovních zařízení,</w:t>
      </w:r>
    </w:p>
    <w:p w:rsidR="00B25FCD" w:rsidRPr="00B25FCD" w:rsidRDefault="00B25FCD" w:rsidP="00B25FC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opravy a výstavba místních komunikací,</w:t>
      </w:r>
    </w:p>
    <w:p w:rsidR="00B25FCD" w:rsidRPr="00B25FCD" w:rsidRDefault="00B25FCD" w:rsidP="00B25FC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investice do veřejné zeleně a infrastruktury,</w:t>
      </w:r>
    </w:p>
    <w:p w:rsidR="00B25FCD" w:rsidRPr="00B25FCD" w:rsidRDefault="00B25FCD" w:rsidP="00B25FC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revitalizace veřejných prostranství a rozvoj městských služeb,</w:t>
      </w:r>
    </w:p>
    <w:p w:rsidR="00B25FCD" w:rsidRPr="00B25FCD" w:rsidRDefault="00B25FCD" w:rsidP="00B25FC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energetické úspory a modernizace veřejného osvětlení.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Kapitálové výdaje</w:t>
      </w:r>
      <w:r w:rsidR="0045142F">
        <w:rPr>
          <w:rFonts w:eastAsia="Times New Roman" w:cstheme="minorHAnsi"/>
          <w:sz w:val="24"/>
          <w:szCs w:val="24"/>
          <w:lang w:eastAsia="cs-CZ"/>
        </w:rPr>
        <w:t xml:space="preserve"> (293,7 mil. Kč)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jsou z velké části kryty z vlastních zdrojů města a z dotačních titulů, které město dlouhodobě a úspěšně využívá.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5. Provozní saldo a finanční stabilita</w:t>
      </w:r>
    </w:p>
    <w:p w:rsidR="00B25FCD" w:rsidRDefault="00B25FCD" w:rsidP="00DF4277">
      <w:pPr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Návrh rozpočtu na rok 2026 zachovává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kladné provozní saldo</w:t>
      </w:r>
      <w:r w:rsidR="00DF4277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</w:t>
      </w:r>
      <w:r w:rsidR="00DF4277" w:rsidRPr="00DF4277">
        <w:rPr>
          <w:rFonts w:eastAsia="Times New Roman" w:cstheme="minorHAnsi"/>
          <w:bCs/>
          <w:sz w:val="24"/>
          <w:szCs w:val="24"/>
          <w:lang w:eastAsia="cs-CZ"/>
        </w:rPr>
        <w:t>(</w:t>
      </w:r>
      <w:r w:rsidR="00DF4277" w:rsidRPr="00DF4277">
        <w:rPr>
          <w:rFonts w:ascii="Calibri" w:eastAsia="Times New Roman" w:hAnsi="Calibri" w:cs="Calibri"/>
          <w:sz w:val="24"/>
          <w:szCs w:val="24"/>
          <w:lang w:eastAsia="cs-CZ"/>
        </w:rPr>
        <w:t>233,2 mil. Kč),</w:t>
      </w:r>
      <w:r w:rsidR="00DF4277">
        <w:rPr>
          <w:rFonts w:ascii="Calibri" w:eastAsia="Times New Roman" w:hAnsi="Calibri" w:cs="Calibri"/>
          <w:lang w:eastAsia="cs-CZ"/>
        </w:rPr>
        <w:t xml:space="preserve"> </w:t>
      </w:r>
      <w:r w:rsidRPr="00B25FCD">
        <w:rPr>
          <w:rFonts w:eastAsia="Times New Roman" w:cstheme="minorHAnsi"/>
          <w:sz w:val="24"/>
          <w:szCs w:val="24"/>
          <w:lang w:eastAsia="cs-CZ"/>
        </w:rPr>
        <w:t>tedy přebytek běžných příjmů nad běžnými výdaji, který je předpokladem pro udržitelné financování investic. Provozní přebytek umož</w:t>
      </w:r>
      <w:r w:rsidR="00DF4277">
        <w:rPr>
          <w:rFonts w:eastAsia="Times New Roman" w:cstheme="minorHAnsi"/>
          <w:sz w:val="24"/>
          <w:szCs w:val="24"/>
          <w:lang w:eastAsia="cs-CZ"/>
        </w:rPr>
        <w:t>ňuje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městu splácet závazky, vytvářet rezervy a realizovat rozvojové projekty bez nutnosti zvýšení zadlužení.</w:t>
      </w:r>
      <w:r w:rsidR="00DF4277">
        <w:rPr>
          <w:rFonts w:eastAsia="Times New Roman" w:cstheme="minorHAnsi"/>
          <w:sz w:val="24"/>
          <w:szCs w:val="24"/>
          <w:lang w:eastAsia="cs-CZ"/>
        </w:rPr>
        <w:t xml:space="preserve"> Úvěr je prozatím pouze zhodnocován.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Ukazatel dluhové služby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zůstává na velmi nízké úrovni (pod 1 % celkových příjmů), což potvrzuje vysokou finanční stabilitu města. Rovněž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fiskální pravidlo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dle zákona č. 23/2017 Sb. je plněn s výraznou rezervou</w:t>
      </w:r>
      <w:r w:rsidR="008339AE">
        <w:rPr>
          <w:rFonts w:eastAsia="Times New Roman" w:cstheme="minorHAnsi"/>
          <w:sz w:val="24"/>
          <w:szCs w:val="24"/>
          <w:lang w:eastAsia="cs-CZ"/>
        </w:rPr>
        <w:t>,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úroveň dluhu se pohybuje hluboko pod hranicí 60 % průměru čtyřletých příjmů.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6. Volné finanční prostředky a rozvojový potenciál</w:t>
      </w:r>
    </w:p>
    <w:p w:rsidR="008339AE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V návaznosti na střednědobý výhled rozpočtu disponuje město pro rok 2026 a následující období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dostatečným objemem volných finančních prostředků</w:t>
      </w:r>
      <w:r w:rsidRPr="00B25FCD">
        <w:rPr>
          <w:rFonts w:eastAsia="Times New Roman" w:cstheme="minorHAnsi"/>
          <w:sz w:val="24"/>
          <w:szCs w:val="24"/>
          <w:lang w:eastAsia="cs-CZ"/>
        </w:rPr>
        <w:t>.</w:t>
      </w:r>
      <w:r w:rsidR="008339AE">
        <w:rPr>
          <w:rFonts w:eastAsia="Times New Roman" w:cstheme="minorHAnsi"/>
          <w:sz w:val="24"/>
          <w:szCs w:val="24"/>
          <w:lang w:eastAsia="cs-CZ"/>
        </w:rPr>
        <w:t xml:space="preserve"> Investice a </w:t>
      </w:r>
      <w:r w:rsidR="0074770F">
        <w:rPr>
          <w:rFonts w:eastAsia="Times New Roman" w:cstheme="minorHAnsi"/>
          <w:sz w:val="24"/>
          <w:szCs w:val="24"/>
          <w:lang w:eastAsia="cs-CZ"/>
        </w:rPr>
        <w:t xml:space="preserve">neinvestiční </w:t>
      </w:r>
      <w:r w:rsidR="008339AE">
        <w:rPr>
          <w:rFonts w:eastAsia="Times New Roman" w:cstheme="minorHAnsi"/>
          <w:sz w:val="24"/>
          <w:szCs w:val="24"/>
          <w:lang w:eastAsia="cs-CZ"/>
        </w:rPr>
        <w:t xml:space="preserve">projekty odboru rozvoje a investic jsou navrhovány v částce 304,7 mil. Kč. Ostatní </w:t>
      </w:r>
      <w:r w:rsidR="0074770F">
        <w:rPr>
          <w:rFonts w:eastAsia="Times New Roman" w:cstheme="minorHAnsi"/>
          <w:sz w:val="24"/>
          <w:szCs w:val="24"/>
          <w:lang w:eastAsia="cs-CZ"/>
        </w:rPr>
        <w:t xml:space="preserve">odbory </w:t>
      </w:r>
      <w:r w:rsidR="008339AE">
        <w:rPr>
          <w:rFonts w:eastAsia="Times New Roman" w:cstheme="minorHAnsi"/>
          <w:sz w:val="24"/>
          <w:szCs w:val="24"/>
          <w:lang w:eastAsia="cs-CZ"/>
        </w:rPr>
        <w:t xml:space="preserve"> města proinvestují </w:t>
      </w:r>
      <w:r w:rsidR="0074770F">
        <w:rPr>
          <w:rFonts w:eastAsia="Times New Roman" w:cstheme="minorHAnsi"/>
          <w:sz w:val="24"/>
          <w:szCs w:val="24"/>
          <w:lang w:eastAsia="cs-CZ"/>
        </w:rPr>
        <w:t>35</w:t>
      </w:r>
      <w:r w:rsidR="008339AE">
        <w:rPr>
          <w:rFonts w:eastAsia="Times New Roman" w:cstheme="minorHAnsi"/>
          <w:sz w:val="24"/>
          <w:szCs w:val="24"/>
          <w:lang w:eastAsia="cs-CZ"/>
        </w:rPr>
        <w:t>,</w:t>
      </w:r>
      <w:r w:rsidR="0074770F">
        <w:rPr>
          <w:rFonts w:eastAsia="Times New Roman" w:cstheme="minorHAnsi"/>
          <w:sz w:val="24"/>
          <w:szCs w:val="24"/>
          <w:lang w:eastAsia="cs-CZ"/>
        </w:rPr>
        <w:t>4</w:t>
      </w:r>
      <w:bookmarkStart w:id="0" w:name="_GoBack"/>
      <w:bookmarkEnd w:id="0"/>
      <w:r w:rsidR="008339AE">
        <w:rPr>
          <w:rFonts w:eastAsia="Times New Roman" w:cstheme="minorHAnsi"/>
          <w:sz w:val="24"/>
          <w:szCs w:val="24"/>
          <w:lang w:eastAsia="cs-CZ"/>
        </w:rPr>
        <w:t xml:space="preserve"> mil. Kč.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Tyto prostředky budou využity zejména:</w:t>
      </w:r>
    </w:p>
    <w:p w:rsidR="00B25FCD" w:rsidRPr="00B25FCD" w:rsidRDefault="00B25FCD" w:rsidP="00B25FC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k zajištění spoluúčasti při čerpání dotací z evropských a národních programů,</w:t>
      </w:r>
    </w:p>
    <w:p w:rsidR="00B25FCD" w:rsidRDefault="00B25FCD" w:rsidP="00B25FC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k realizaci prioritních investic dle rozvoj</w:t>
      </w:r>
      <w:r w:rsidR="008339AE">
        <w:rPr>
          <w:rFonts w:eastAsia="Times New Roman" w:cstheme="minorHAnsi"/>
          <w:sz w:val="24"/>
          <w:szCs w:val="24"/>
          <w:lang w:eastAsia="cs-CZ"/>
        </w:rPr>
        <w:t>ových strategií města.</w:t>
      </w:r>
    </w:p>
    <w:p w:rsidR="008339AE" w:rsidRPr="00B25FCD" w:rsidRDefault="008339AE" w:rsidP="008339A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Jmenovité investiční akce jsou součástí předkládaného materiálu.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7. Závěrečné zhodnocení</w:t>
      </w:r>
    </w:p>
    <w:p w:rsidR="00B25FCD" w:rsidRP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Rozpočet Statutárního města Chomutova na rok 2026 je připraven jako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vyvážený, realistický a rozvojově orientovaný dokument</w:t>
      </w:r>
      <w:r w:rsidRPr="00B25FCD">
        <w:rPr>
          <w:rFonts w:eastAsia="Times New Roman" w:cstheme="minorHAnsi"/>
          <w:sz w:val="24"/>
          <w:szCs w:val="24"/>
          <w:lang w:eastAsia="cs-CZ"/>
        </w:rPr>
        <w:t>, který:</w:t>
      </w:r>
    </w:p>
    <w:p w:rsidR="00B25FCD" w:rsidRPr="00B25FCD" w:rsidRDefault="00B25FCD" w:rsidP="00B25FC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zabezpečuje plnění všech základních funkcí města,</w:t>
      </w:r>
    </w:p>
    <w:p w:rsidR="00B25FCD" w:rsidRPr="00B25FCD" w:rsidRDefault="00B25FCD" w:rsidP="00B25FC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zachovává finanční stabilitu a odpovědnost,</w:t>
      </w:r>
    </w:p>
    <w:p w:rsidR="00B25FCD" w:rsidRPr="00B25FCD" w:rsidRDefault="00B25FCD" w:rsidP="00B25FC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>vytváří prostor pro investice a modernizaci,</w:t>
      </w:r>
    </w:p>
    <w:p w:rsidR="00B25FCD" w:rsidRPr="00B25FCD" w:rsidRDefault="00B25FCD" w:rsidP="00B25FC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lastRenderedPageBreak/>
        <w:t>respektuje právní rámec a metodická doporučení Ministerstva financí ČR.</w:t>
      </w:r>
    </w:p>
    <w:p w:rsidR="008339AE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Ekonomické hodnocení města potvrzuje, že Chomutov je nadále hodnocen jako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velmi dobrý subjekt s vysokou schopností splácet své závazky (rating STR2)</w:t>
      </w:r>
      <w:r w:rsidRPr="00B25FCD">
        <w:rPr>
          <w:rFonts w:eastAsia="Times New Roman" w:cstheme="minorHAnsi"/>
          <w:sz w:val="24"/>
          <w:szCs w:val="24"/>
          <w:lang w:eastAsia="cs-CZ"/>
        </w:rPr>
        <w:t>.</w:t>
      </w:r>
    </w:p>
    <w:p w:rsidR="00B25FCD" w:rsidRDefault="00B25FCD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B25FCD">
        <w:rPr>
          <w:rFonts w:eastAsia="Times New Roman" w:cstheme="minorHAnsi"/>
          <w:sz w:val="24"/>
          <w:szCs w:val="24"/>
          <w:lang w:eastAsia="cs-CZ"/>
        </w:rPr>
        <w:t xml:space="preserve">Rozpočet pro rok 2026 tak představuje nejen nástroj finančního řízení, ale i </w:t>
      </w:r>
      <w:r w:rsidRPr="00B25FCD">
        <w:rPr>
          <w:rFonts w:eastAsia="Times New Roman" w:cstheme="minorHAnsi"/>
          <w:b/>
          <w:bCs/>
          <w:sz w:val="24"/>
          <w:szCs w:val="24"/>
          <w:lang w:eastAsia="cs-CZ"/>
        </w:rPr>
        <w:t>strategický dokument pro řízený rozvoj města</w:t>
      </w:r>
      <w:r w:rsidRPr="00B25FCD">
        <w:rPr>
          <w:rFonts w:eastAsia="Times New Roman" w:cstheme="minorHAnsi"/>
          <w:sz w:val="24"/>
          <w:szCs w:val="24"/>
          <w:lang w:eastAsia="cs-CZ"/>
        </w:rPr>
        <w:t xml:space="preserve"> v souladu se zásadami efektivity, transparentnosti a dlouhodobé udržitelnosti.</w:t>
      </w:r>
    </w:p>
    <w:p w:rsidR="008339AE" w:rsidRDefault="008339AE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Předložený materiál je kompromisním návrhem na krytí veškerých potřeb města v roce 2026, původní požadavky na výdajovou stránku převyšovaly možnosti města o 425 mil. Kč. Schodek byl následně redukován na 53,2 mil. Kč, který by měl být v průběhu roku 2026 dále minimalizován či zcela eliminován.</w:t>
      </w:r>
    </w:p>
    <w:p w:rsidR="008339AE" w:rsidRDefault="008339AE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8339AE" w:rsidRPr="00B25FCD" w:rsidRDefault="008339AE" w:rsidP="00B25FC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3C5389" w:rsidRPr="00B25FCD" w:rsidRDefault="003C5389" w:rsidP="00B25FCD">
      <w:pPr>
        <w:jc w:val="both"/>
        <w:rPr>
          <w:rFonts w:cstheme="minorHAnsi"/>
          <w:sz w:val="24"/>
          <w:szCs w:val="24"/>
        </w:rPr>
      </w:pPr>
    </w:p>
    <w:sectPr w:rsidR="003C5389" w:rsidRPr="00B25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A5111"/>
    <w:multiLevelType w:val="multilevel"/>
    <w:tmpl w:val="9ACC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412C5"/>
    <w:multiLevelType w:val="multilevel"/>
    <w:tmpl w:val="984E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E77A3"/>
    <w:multiLevelType w:val="multilevel"/>
    <w:tmpl w:val="CF022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765097"/>
    <w:multiLevelType w:val="multilevel"/>
    <w:tmpl w:val="D632C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B83416"/>
    <w:multiLevelType w:val="multilevel"/>
    <w:tmpl w:val="F2BE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6C0669"/>
    <w:multiLevelType w:val="multilevel"/>
    <w:tmpl w:val="1CD22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CD"/>
    <w:rsid w:val="003C5389"/>
    <w:rsid w:val="0045142F"/>
    <w:rsid w:val="0074770F"/>
    <w:rsid w:val="008339AE"/>
    <w:rsid w:val="00AC62E7"/>
    <w:rsid w:val="00B25FCD"/>
    <w:rsid w:val="00CA6D8C"/>
    <w:rsid w:val="00DF4277"/>
    <w:rsid w:val="00E9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28133"/>
  <w15:chartTrackingRefBased/>
  <w15:docId w15:val="{9AAD5DE5-D39E-4833-8E16-C6B4FF51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25F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B25F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B25F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25FC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25FC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25FC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25FC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2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B25F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7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1050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Matějková Romana</cp:lastModifiedBy>
  <cp:revision>4</cp:revision>
  <cp:lastPrinted>2025-10-09T09:35:00Z</cp:lastPrinted>
  <dcterms:created xsi:type="dcterms:W3CDTF">2025-10-09T09:35:00Z</dcterms:created>
  <dcterms:modified xsi:type="dcterms:W3CDTF">2025-10-09T10:52:00Z</dcterms:modified>
</cp:coreProperties>
</file>